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BD3A" w14:textId="77777777" w:rsidR="00CF149F" w:rsidRPr="00833BAF" w:rsidRDefault="00CF149F" w:rsidP="00CF149F">
      <w:pPr>
        <w:pStyle w:val="Titolo"/>
        <w:rPr>
          <w:rFonts w:asciiTheme="minorHAnsi" w:hAnsiTheme="minorHAnsi" w:cstheme="minorHAnsi"/>
          <w:lang w:eastAsia="it-IT"/>
        </w:rPr>
      </w:pPr>
      <w:r w:rsidRPr="00833BAF">
        <w:rPr>
          <w:rFonts w:asciiTheme="minorHAnsi" w:hAnsiTheme="minorHAnsi" w:cstheme="minorHAnsi"/>
          <w:lang w:eastAsia="it-IT"/>
        </w:rPr>
        <w:t>CISIA sulla sentenza del Consiglio di Stato in merito alla validità dei TOLC-MED</w:t>
      </w:r>
    </w:p>
    <w:p w14:paraId="4183052E" w14:textId="77777777" w:rsidR="00CF149F" w:rsidRPr="00833BAF" w:rsidRDefault="00CF149F" w:rsidP="00833BAF">
      <w:pPr>
        <w:rPr>
          <w:rFonts w:cstheme="minorHAnsi"/>
          <w:lang w:eastAsia="it-IT"/>
        </w:rPr>
      </w:pPr>
    </w:p>
    <w:p w14:paraId="7574D40B" w14:textId="15B990C2" w:rsidR="0064539D" w:rsidRPr="00833BAF" w:rsidRDefault="0064539D" w:rsidP="00833BAF">
      <w:pPr>
        <w:rPr>
          <w:rFonts w:eastAsia="Times New Roman" w:cstheme="minorHAnsi"/>
          <w:i/>
          <w:iCs/>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Soddisfazione per la sentenza 06928 del Consiglio di Stato</w:t>
      </w:r>
      <w:r w:rsidR="000A208F">
        <w:rPr>
          <w:rFonts w:eastAsia="Times New Roman" w:cstheme="minorHAnsi"/>
          <w:i/>
          <w:iCs/>
          <w:color w:val="000000"/>
          <w:kern w:val="0"/>
          <w:sz w:val="24"/>
          <w:szCs w:val="24"/>
          <w:lang w:eastAsia="it-IT"/>
          <w14:ligatures w14:val="none"/>
        </w:rPr>
        <w:t>, emessa i</w:t>
      </w:r>
      <w:r w:rsidR="00833BAF" w:rsidRPr="00833BAF">
        <w:rPr>
          <w:rFonts w:eastAsia="Times New Roman" w:cstheme="minorHAnsi"/>
          <w:i/>
          <w:iCs/>
          <w:color w:val="000000"/>
          <w:kern w:val="0"/>
          <w:sz w:val="24"/>
          <w:szCs w:val="24"/>
          <w:lang w:eastAsia="it-IT"/>
          <w14:ligatures w14:val="none"/>
        </w:rPr>
        <w:t>l</w:t>
      </w:r>
      <w:r w:rsidRPr="00833BAF">
        <w:rPr>
          <w:rFonts w:eastAsia="Times New Roman" w:cstheme="minorHAnsi"/>
          <w:i/>
          <w:iCs/>
          <w:color w:val="000000"/>
          <w:kern w:val="0"/>
          <w:sz w:val="24"/>
          <w:szCs w:val="24"/>
          <w:lang w:eastAsia="it-IT"/>
          <w14:ligatures w14:val="none"/>
        </w:rPr>
        <w:t xml:space="preserve"> 1</w:t>
      </w:r>
      <w:r w:rsidR="00833BAF" w:rsidRPr="00833BAF">
        <w:rPr>
          <w:rFonts w:eastAsia="Times New Roman" w:cstheme="minorHAnsi"/>
          <w:i/>
          <w:iCs/>
          <w:color w:val="000000"/>
          <w:kern w:val="0"/>
          <w:sz w:val="24"/>
          <w:szCs w:val="24"/>
          <w:lang w:eastAsia="it-IT"/>
          <w14:ligatures w14:val="none"/>
        </w:rPr>
        <w:t>°</w:t>
      </w:r>
      <w:r w:rsidRPr="00833BAF">
        <w:rPr>
          <w:rFonts w:eastAsia="Times New Roman" w:cstheme="minorHAnsi"/>
          <w:i/>
          <w:iCs/>
          <w:color w:val="000000"/>
          <w:kern w:val="0"/>
          <w:sz w:val="24"/>
          <w:szCs w:val="24"/>
          <w:lang w:eastAsia="it-IT"/>
          <w14:ligatures w14:val="none"/>
        </w:rPr>
        <w:t xml:space="preserve"> agosto, che sancisce in via definitiva la piena legittimità del metodo messo a punto dal consorzio con l’introduzione dei TOLC-MED e VET per l’accesso ai corsi di medicina, odontoiatria e veterinaria 2023.</w:t>
      </w:r>
    </w:p>
    <w:p w14:paraId="4EB2BABB" w14:textId="77777777" w:rsidR="0064539D" w:rsidRPr="00833BAF" w:rsidRDefault="0064539D" w:rsidP="00833BAF">
      <w:pPr>
        <w:rPr>
          <w:rFonts w:eastAsia="Times New Roman" w:cstheme="minorHAnsi"/>
          <w:color w:val="000000"/>
          <w:kern w:val="0"/>
          <w:sz w:val="24"/>
          <w:szCs w:val="24"/>
          <w:lang w:eastAsia="it-IT"/>
          <w14:ligatures w14:val="none"/>
        </w:rPr>
      </w:pPr>
    </w:p>
    <w:p w14:paraId="1DF79419" w14:textId="103BEE2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b/>
          <w:bCs/>
          <w:color w:val="000000"/>
          <w:kern w:val="0"/>
          <w:sz w:val="24"/>
          <w:szCs w:val="24"/>
          <w:lang w:eastAsia="it-IT"/>
          <w14:ligatures w14:val="none"/>
        </w:rPr>
        <w:t>La sentenza del Consiglio di Stato fa completamente salvo il modello scientifico dei TOLC-MED e VET</w:t>
      </w:r>
      <w:r w:rsidRPr="00833BAF">
        <w:rPr>
          <w:rFonts w:eastAsia="Times New Roman" w:cstheme="minorHAnsi"/>
          <w:color w:val="000000"/>
          <w:kern w:val="0"/>
          <w:sz w:val="24"/>
          <w:szCs w:val="24"/>
          <w:lang w:eastAsia="it-IT"/>
          <w14:ligatures w14:val="none"/>
        </w:rPr>
        <w:t>, che CISIA ha sostenuto e difeso con determinazione; in particolare, sentenzia il CdS: </w:t>
      </w:r>
      <w:r w:rsidRPr="00833BAF">
        <w:rPr>
          <w:rFonts w:eastAsia="Times New Roman" w:cstheme="minorHAnsi"/>
          <w:i/>
          <w:iCs/>
          <w:color w:val="000000"/>
          <w:kern w:val="0"/>
          <w:sz w:val="24"/>
          <w:szCs w:val="24"/>
          <w:lang w:eastAsia="it-IT"/>
          <w14:ligatures w14:val="none"/>
        </w:rPr>
        <w:t>“L’equalizzazione ha proprio la finalità, attraverso la correzione dei punteggi, di attribuire a ciascun quesito il giusto peso e dunque il giusto merito”.</w:t>
      </w:r>
    </w:p>
    <w:p w14:paraId="3DF93E5A"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color w:val="000000"/>
          <w:kern w:val="0"/>
          <w:sz w:val="24"/>
          <w:szCs w:val="24"/>
          <w:lang w:eastAsia="it-IT"/>
          <w14:ligatures w14:val="none"/>
        </w:rPr>
        <w:t>Il presidente Stella e il direttore Forte</w:t>
      </w:r>
      <w:r w:rsidRPr="00833BAF">
        <w:rPr>
          <w:rFonts w:eastAsia="Times New Roman" w:cstheme="minorHAnsi"/>
          <w:i/>
          <w:iCs/>
          <w:color w:val="000000"/>
          <w:kern w:val="0"/>
          <w:sz w:val="24"/>
          <w:szCs w:val="24"/>
          <w:lang w:eastAsia="it-IT"/>
          <w14:ligatures w14:val="none"/>
        </w:rPr>
        <w:t>: “</w:t>
      </w:r>
      <w:r w:rsidRPr="00833BAF">
        <w:rPr>
          <w:rFonts w:eastAsia="Times New Roman" w:cstheme="minorHAnsi"/>
          <w:b/>
          <w:bCs/>
          <w:i/>
          <w:iCs/>
          <w:color w:val="000000"/>
          <w:kern w:val="0"/>
          <w:sz w:val="24"/>
          <w:szCs w:val="24"/>
          <w:lang w:eastAsia="it-IT"/>
          <w14:ligatures w14:val="none"/>
        </w:rPr>
        <w:t>Pronunciamento storico per il sistema universitario e per il Paese</w:t>
      </w:r>
      <w:r w:rsidRPr="00833BAF">
        <w:rPr>
          <w:rFonts w:eastAsia="Times New Roman" w:cstheme="minorHAnsi"/>
          <w:i/>
          <w:iCs/>
          <w:color w:val="000000"/>
          <w:kern w:val="0"/>
          <w:sz w:val="24"/>
          <w:szCs w:val="24"/>
          <w:lang w:eastAsia="it-IT"/>
          <w14:ligatures w14:val="none"/>
        </w:rPr>
        <w:t>. Il consorzio prosegue con convinzione nella sua attività di eccellenza al servizio del sistema universitario”.</w:t>
      </w:r>
    </w:p>
    <w:p w14:paraId="1DD9D02C"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color w:val="000000"/>
          <w:kern w:val="0"/>
          <w:sz w:val="24"/>
          <w:szCs w:val="24"/>
          <w:lang w:eastAsia="it-IT"/>
          <w14:ligatures w14:val="none"/>
        </w:rPr>
        <w:t>In questo pronunciamento i giudici hanno riconosciuto, in particolare, che </w:t>
      </w:r>
      <w:r w:rsidRPr="00833BAF">
        <w:rPr>
          <w:rFonts w:eastAsia="Times New Roman" w:cstheme="minorHAnsi"/>
          <w:i/>
          <w:iCs/>
          <w:color w:val="000000"/>
          <w:kern w:val="0"/>
          <w:sz w:val="24"/>
          <w:szCs w:val="24"/>
          <w:lang w:eastAsia="it-IT"/>
          <w14:ligatures w14:val="none"/>
        </w:rPr>
        <w:t>“</w:t>
      </w:r>
      <w:r w:rsidRPr="00833BAF">
        <w:rPr>
          <w:rFonts w:eastAsia="Times New Roman" w:cstheme="minorHAnsi"/>
          <w:b/>
          <w:bCs/>
          <w:i/>
          <w:iCs/>
          <w:color w:val="000000"/>
          <w:kern w:val="0"/>
          <w:sz w:val="24"/>
          <w:szCs w:val="24"/>
          <w:lang w:eastAsia="it-IT"/>
          <w14:ligatures w14:val="none"/>
        </w:rPr>
        <w:t>Le censure relative al sistema di espletamento della prova sono infondate</w:t>
      </w:r>
      <w:r w:rsidRPr="00833BAF">
        <w:rPr>
          <w:rFonts w:eastAsia="Times New Roman" w:cstheme="minorHAnsi"/>
          <w:i/>
          <w:iCs/>
          <w:color w:val="000000"/>
          <w:kern w:val="0"/>
          <w:sz w:val="24"/>
          <w:szCs w:val="24"/>
          <w:lang w:eastAsia="it-IT"/>
          <w14:ligatures w14:val="none"/>
        </w:rPr>
        <w:t>. Trattasi di sistemi d’esame la cui individuazione è rimessa alla discrezionalità tecnica dell’Amministrazione. Le censure non dimostrano che il metodo adottato non sia idoneo a determinare il merito del singolo candidato. Anzi </w:t>
      </w:r>
      <w:r w:rsidRPr="00833BAF">
        <w:rPr>
          <w:rFonts w:eastAsia="Times New Roman" w:cstheme="minorHAnsi"/>
          <w:b/>
          <w:bCs/>
          <w:i/>
          <w:iCs/>
          <w:color w:val="000000"/>
          <w:kern w:val="0"/>
          <w:sz w:val="24"/>
          <w:szCs w:val="24"/>
          <w:lang w:eastAsia="it-IT"/>
          <w14:ligatures w14:val="none"/>
        </w:rPr>
        <w:t>l’equalizzazione ha proprio la finalità, attraverso la correzione dei punteggi, di attribuire a ciascun quesito il giusto peso e dunque il giusto merito</w:t>
      </w:r>
      <w:r w:rsidRPr="00833BAF">
        <w:rPr>
          <w:rFonts w:eastAsia="Times New Roman" w:cstheme="minorHAnsi"/>
          <w:i/>
          <w:iCs/>
          <w:color w:val="000000"/>
          <w:kern w:val="0"/>
          <w:sz w:val="24"/>
          <w:szCs w:val="24"/>
          <w:lang w:eastAsia="it-IT"/>
          <w14:ligatures w14:val="none"/>
        </w:rPr>
        <w:t>. Inoltre, parte appellante non ha dimostrato che senza l’equalizzazione la prova sarebbe stata superata. La previsione di un coefficiente di equalizzazione della prova nasce dall’esigenza di equiparare prove in partenza analoghe svolte in momenti diversi e, quindi, di garantire equità di valutazione ed identica selettività nell’ambito di un sistema che consente, in un’ottica di orientamento e di implementazione della preparazione dei candidati, la ripetibilità delle prove stesse, che è possibile sostenere due volte all’anno a partire dal penultimo anno di scuola superiore. La circostanza che nella sessione di luglio siano stati somministrati quesiti già somministrati nella sessione di aprile è ragionevole, considerato che si tratta di un modello di accesso che prevede la ripetibilità delle prove”</w:t>
      </w:r>
    </w:p>
    <w:p w14:paraId="4813FAC8"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color w:val="000000"/>
          <w:kern w:val="0"/>
          <w:sz w:val="24"/>
          <w:szCs w:val="24"/>
          <w:lang w:eastAsia="it-IT"/>
          <w14:ligatures w14:val="none"/>
        </w:rPr>
        <w:t>Il Consiglio si è pronunciato anche su un altro punto centrale del modello TOLC: </w:t>
      </w:r>
      <w:r w:rsidRPr="00833BAF">
        <w:rPr>
          <w:rFonts w:eastAsia="Times New Roman" w:cstheme="minorHAnsi"/>
          <w:i/>
          <w:iCs/>
          <w:color w:val="000000"/>
          <w:kern w:val="0"/>
          <w:sz w:val="24"/>
          <w:szCs w:val="24"/>
          <w:lang w:eastAsia="it-IT"/>
          <w14:ligatures w14:val="none"/>
        </w:rPr>
        <w:t>“Il riferimento alla ripartizione in sezioni delle prove resiste alle censure proposte.</w:t>
      </w:r>
    </w:p>
    <w:p w14:paraId="4188997B"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Il modello si basa sul principio dell’analoga difficoltà delle prove proposte.</w:t>
      </w:r>
    </w:p>
    <w:p w14:paraId="3074E0D2"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La difficoltà di una prova è data dall’unione delle difficoltà delle sezioni che la compongono. Di conseguenza, date due o più prove, sostenerne l’analoga difficoltà implica sostenere l’analoga difficoltà di ciascuna delle sezioni che le compongono.</w:t>
      </w:r>
    </w:p>
    <w:p w14:paraId="0EE1A9AA"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lastRenderedPageBreak/>
        <w:t>Così le persone rispondenti vengono poste nelle medesime condizioni di svolgimento. Ne risulta la coerenza:</w:t>
      </w:r>
    </w:p>
    <w:p w14:paraId="02369C47"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del tempo prestabilito di svolgimento di ciascuna sezione;</w:t>
      </w:r>
    </w:p>
    <w:p w14:paraId="04160825"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dell’ordine prestabilito con cui le sezioni si presentano all’interno del test;</w:t>
      </w:r>
    </w:p>
    <w:p w14:paraId="5C431755"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l’omogeneità della tipologia di argomenti somministrati in ciascuna sezione del test.</w:t>
      </w:r>
    </w:p>
    <w:p w14:paraId="14E308F0"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Così una sezione (con i relativi quesiti) a cui è stato dedicato un tempo medio inferiore, perché il tempo è stato dedicato ad altra sezione, diventa mediamente più difficile.</w:t>
      </w:r>
    </w:p>
    <w:p w14:paraId="64DAAD69"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i/>
          <w:iCs/>
          <w:color w:val="000000"/>
          <w:kern w:val="0"/>
          <w:sz w:val="24"/>
          <w:szCs w:val="24"/>
          <w:lang w:eastAsia="it-IT"/>
          <w14:ligatures w14:val="none"/>
        </w:rPr>
        <w:t>Analogamente una sezione e relativi quesiti diventano mediamente più facili se a quella sezione, a quei quesiti, è dedicato un tempo superiore.</w:t>
      </w:r>
    </w:p>
    <w:p w14:paraId="343B8743" w14:textId="13C011FD"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b/>
          <w:bCs/>
          <w:i/>
          <w:iCs/>
          <w:color w:val="000000"/>
          <w:kern w:val="0"/>
          <w:sz w:val="24"/>
          <w:szCs w:val="24"/>
          <w:lang w:eastAsia="it-IT"/>
          <w14:ligatures w14:val="none"/>
        </w:rPr>
        <w:t>Il tempo identico per ciascuna sezione, nel modello Tolc, rappresenta pertanto un profilo in grado di assicurare analoga difficoltà</w:t>
      </w:r>
      <w:r w:rsidRPr="00833BAF">
        <w:rPr>
          <w:rFonts w:eastAsia="Times New Roman" w:cstheme="minorHAnsi"/>
          <w:i/>
          <w:iCs/>
          <w:color w:val="000000"/>
          <w:kern w:val="0"/>
          <w:sz w:val="24"/>
          <w:szCs w:val="24"/>
          <w:lang w:eastAsia="it-IT"/>
          <w14:ligatures w14:val="none"/>
        </w:rPr>
        <w:t>”</w:t>
      </w:r>
      <w:r w:rsidR="00E3596C" w:rsidRPr="00E3596C">
        <w:rPr>
          <w:rFonts w:eastAsia="Times New Roman" w:cstheme="minorHAnsi"/>
          <w:color w:val="000000"/>
          <w:kern w:val="0"/>
          <w:sz w:val="24"/>
          <w:szCs w:val="24"/>
          <w:lang w:eastAsia="it-IT"/>
          <w14:ligatures w14:val="none"/>
        </w:rPr>
        <w:t>.</w:t>
      </w:r>
    </w:p>
    <w:p w14:paraId="6AC0E151"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b/>
          <w:bCs/>
          <w:color w:val="000000"/>
          <w:kern w:val="0"/>
          <w:sz w:val="24"/>
          <w:szCs w:val="24"/>
          <w:lang w:eastAsia="it-IT"/>
          <w14:ligatures w14:val="none"/>
        </w:rPr>
        <w:t>Questa sentenza rappresenta per il consorzio l’atto con cui vengono confermate la validità, la correttezza e l’importanza del metodo alla base dei test CISIA</w:t>
      </w:r>
      <w:r w:rsidRPr="00833BAF">
        <w:rPr>
          <w:rFonts w:eastAsia="Times New Roman" w:cstheme="minorHAnsi"/>
          <w:color w:val="000000"/>
          <w:kern w:val="0"/>
          <w:sz w:val="24"/>
          <w:szCs w:val="24"/>
          <w:lang w:eastAsia="it-IT"/>
          <w14:ligatures w14:val="none"/>
        </w:rPr>
        <w:t>, delle innovazioni sviluppate con i TOLC-MED e VET, del lavoro di tutto lo staff e dei legali, dell’impegno delle comunità scientifiche che operano per il consorzio.</w:t>
      </w:r>
    </w:p>
    <w:p w14:paraId="0490C150" w14:textId="77777777" w:rsidR="0064539D" w:rsidRPr="00833BAF" w:rsidRDefault="0064539D" w:rsidP="00833BAF">
      <w:pPr>
        <w:rPr>
          <w:rFonts w:eastAsia="Times New Roman" w:cstheme="minorHAnsi"/>
          <w:color w:val="000000"/>
          <w:kern w:val="0"/>
          <w:sz w:val="24"/>
          <w:szCs w:val="24"/>
          <w:lang w:eastAsia="it-IT"/>
          <w14:ligatures w14:val="none"/>
        </w:rPr>
      </w:pPr>
      <w:r w:rsidRPr="00833BAF">
        <w:rPr>
          <w:rFonts w:eastAsia="Times New Roman" w:cstheme="minorHAnsi"/>
          <w:color w:val="000000"/>
          <w:kern w:val="0"/>
          <w:sz w:val="24"/>
          <w:szCs w:val="24"/>
          <w:lang w:eastAsia="it-IT"/>
          <w14:ligatures w14:val="none"/>
        </w:rPr>
        <w:t>Anche per i ragazzi e le ragazze che hanno affrontato le prove nel 2023 e hanno superato il test, la sentenza è importante, perché </w:t>
      </w:r>
      <w:r w:rsidRPr="00833BAF">
        <w:rPr>
          <w:rFonts w:eastAsia="Times New Roman" w:cstheme="minorHAnsi"/>
          <w:b/>
          <w:bCs/>
          <w:color w:val="000000"/>
          <w:kern w:val="0"/>
          <w:sz w:val="24"/>
          <w:szCs w:val="24"/>
          <w:lang w:eastAsia="it-IT"/>
          <w14:ligatures w14:val="none"/>
        </w:rPr>
        <w:t>sancisce la totale legittimità del loro percorso e la piena fondatezza della loro richiesta di vedere riconosciuto il merito dimostrato sul campo</w:t>
      </w:r>
      <w:r w:rsidRPr="00833BAF">
        <w:rPr>
          <w:rFonts w:eastAsia="Times New Roman" w:cstheme="minorHAnsi"/>
          <w:color w:val="000000"/>
          <w:kern w:val="0"/>
          <w:sz w:val="24"/>
          <w:szCs w:val="24"/>
          <w:lang w:eastAsia="it-IT"/>
          <w14:ligatures w14:val="none"/>
        </w:rPr>
        <w:t>.</w:t>
      </w:r>
    </w:p>
    <w:p w14:paraId="46B2CA25" w14:textId="77777777" w:rsidR="00CF149F" w:rsidRPr="00833BAF" w:rsidRDefault="00CF149F" w:rsidP="00833BAF">
      <w:pPr>
        <w:rPr>
          <w:rFonts w:cstheme="minorHAnsi"/>
          <w:lang w:eastAsia="it-IT"/>
        </w:rPr>
      </w:pPr>
    </w:p>
    <w:p w14:paraId="1D3F2000" w14:textId="77777777" w:rsidR="00C42859" w:rsidRPr="00833BAF" w:rsidRDefault="00C42859" w:rsidP="00833BAF">
      <w:pPr>
        <w:rPr>
          <w:rFonts w:cstheme="minorHAnsi"/>
        </w:rPr>
      </w:pPr>
    </w:p>
    <w:sectPr w:rsidR="00C42859" w:rsidRPr="00833BA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2A3D" w14:textId="77777777" w:rsidR="00D929D2" w:rsidRDefault="00D929D2" w:rsidP="00D929D2">
      <w:pPr>
        <w:spacing w:after="0" w:line="240" w:lineRule="auto"/>
      </w:pPr>
      <w:r>
        <w:separator/>
      </w:r>
    </w:p>
  </w:endnote>
  <w:endnote w:type="continuationSeparator" w:id="0">
    <w:p w14:paraId="6231D219" w14:textId="77777777" w:rsidR="00D929D2" w:rsidRDefault="00D929D2" w:rsidP="00D9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90DC" w14:textId="77777777" w:rsidR="002C14A3" w:rsidRDefault="002C14A3" w:rsidP="002C14A3">
    <w:pPr>
      <w:pStyle w:val="Pidipagina"/>
      <w:rPr>
        <w:rFonts w:ascii="Trebuchet MS" w:hAnsi="Trebuchet MS" w:cs="Arial"/>
        <w:color w:val="07476A"/>
        <w:sz w:val="18"/>
        <w:szCs w:val="18"/>
        <w:u w:val="single"/>
      </w:rPr>
    </w:pPr>
    <w:r>
      <w:rPr>
        <w:rFonts w:ascii="Trebuchet MS" w:hAnsi="Trebuchet MS" w:cs="Arial"/>
        <w:color w:val="07476A"/>
        <w:sz w:val="18"/>
        <w:szCs w:val="18"/>
      </w:rPr>
      <w:t>_______________________________________________</w:t>
    </w:r>
  </w:p>
  <w:p w14:paraId="0B073C24" w14:textId="77777777" w:rsidR="002C14A3" w:rsidRDefault="002C14A3" w:rsidP="002C14A3">
    <w:pPr>
      <w:pStyle w:val="Pidipagina"/>
      <w:spacing w:line="240" w:lineRule="exact"/>
      <w:rPr>
        <w:rFonts w:ascii="Trebuchet MS" w:hAnsi="Trebuchet MS" w:cs="Arial"/>
        <w:color w:val="07476A"/>
        <w:sz w:val="18"/>
        <w:szCs w:val="18"/>
      </w:rPr>
    </w:pPr>
    <w:r>
      <w:rPr>
        <w:rFonts w:ascii="Trebuchet MS" w:hAnsi="Trebuchet MS" w:cs="Arial"/>
        <w:color w:val="07476A"/>
        <w:sz w:val="18"/>
        <w:szCs w:val="18"/>
        <w:u w:val="single"/>
      </w:rPr>
      <w:t>www.cisiaonline.it</w:t>
    </w:r>
  </w:p>
  <w:p w14:paraId="2F9ADA11" w14:textId="77777777" w:rsidR="002C14A3" w:rsidRDefault="002C14A3" w:rsidP="002C14A3">
    <w:pPr>
      <w:pStyle w:val="Pidipagina"/>
      <w:spacing w:line="240" w:lineRule="exact"/>
      <w:rPr>
        <w:rFonts w:ascii="Trebuchet MS" w:hAnsi="Trebuchet MS" w:cs="Arial"/>
        <w:color w:val="07476A"/>
        <w:sz w:val="18"/>
        <w:szCs w:val="18"/>
      </w:rPr>
    </w:pPr>
    <w:r>
      <w:rPr>
        <w:rFonts w:ascii="Trebuchet MS" w:hAnsi="Trebuchet MS" w:cs="Arial"/>
        <w:color w:val="07476A"/>
        <w:sz w:val="18"/>
        <w:szCs w:val="18"/>
      </w:rPr>
      <w:t>Via Giuseppe Malagoli 12 - 56124 Pisa</w:t>
    </w:r>
  </w:p>
  <w:p w14:paraId="62AC7F5D" w14:textId="77777777" w:rsidR="002C14A3" w:rsidRDefault="002C14A3" w:rsidP="002C14A3">
    <w:pPr>
      <w:pStyle w:val="Pidipagina"/>
      <w:spacing w:line="240" w:lineRule="exact"/>
      <w:rPr>
        <w:rFonts w:ascii="Trebuchet MS" w:hAnsi="Trebuchet MS" w:cs="Arial"/>
        <w:color w:val="07476A"/>
        <w:sz w:val="18"/>
        <w:szCs w:val="18"/>
      </w:rPr>
    </w:pPr>
    <w:r>
      <w:rPr>
        <w:rFonts w:ascii="Trebuchet MS" w:hAnsi="Trebuchet MS" w:cs="Arial"/>
        <w:color w:val="07476A"/>
        <w:sz w:val="18"/>
        <w:szCs w:val="18"/>
      </w:rPr>
      <w:t xml:space="preserve">Telefono centralino: </w:t>
    </w:r>
    <w:r w:rsidRPr="00D01A66">
      <w:rPr>
        <w:rFonts w:ascii="Trebuchet MS" w:hAnsi="Trebuchet MS" w:cs="Arial"/>
        <w:color w:val="07476A"/>
        <w:sz w:val="18"/>
        <w:szCs w:val="18"/>
      </w:rPr>
      <w:t>050 8068 260</w:t>
    </w:r>
    <w:r>
      <w:rPr>
        <w:rFonts w:ascii="Trebuchet MS" w:hAnsi="Trebuchet MS" w:cs="Arial"/>
        <w:color w:val="07476A"/>
        <w:sz w:val="18"/>
        <w:szCs w:val="18"/>
      </w:rPr>
      <w:t xml:space="preserve"> e-mail: info@cisiaonline.it</w:t>
    </w:r>
  </w:p>
  <w:p w14:paraId="7249FCE4" w14:textId="012644B6" w:rsidR="00D929D2" w:rsidRPr="002C14A3" w:rsidRDefault="002C14A3" w:rsidP="002C14A3">
    <w:pPr>
      <w:pStyle w:val="Pidipagina"/>
      <w:tabs>
        <w:tab w:val="clear" w:pos="4819"/>
        <w:tab w:val="clear" w:pos="9638"/>
        <w:tab w:val="left" w:pos="5244"/>
      </w:tabs>
      <w:spacing w:line="240" w:lineRule="exact"/>
    </w:pPr>
    <w:r>
      <w:rPr>
        <w:rFonts w:ascii="Trebuchet MS" w:hAnsi="Trebuchet MS" w:cs="Arial"/>
        <w:color w:val="07476A"/>
        <w:sz w:val="18"/>
        <w:szCs w:val="18"/>
      </w:rPr>
      <w:t>C.F. e P.I. 01951400504</w:t>
    </w:r>
    <w:r>
      <w:rPr>
        <w:rFonts w:ascii="Trebuchet MS" w:hAnsi="Trebuchet MS" w:cs="Arial"/>
        <w:color w:val="07476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0CEB" w14:textId="77777777" w:rsidR="00D929D2" w:rsidRDefault="00D929D2" w:rsidP="00D929D2">
      <w:pPr>
        <w:spacing w:after="0" w:line="240" w:lineRule="auto"/>
      </w:pPr>
      <w:r>
        <w:separator/>
      </w:r>
    </w:p>
  </w:footnote>
  <w:footnote w:type="continuationSeparator" w:id="0">
    <w:p w14:paraId="5D4641AC" w14:textId="77777777" w:rsidR="00D929D2" w:rsidRDefault="00D929D2" w:rsidP="00D92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C8CB" w14:textId="1562B4CC" w:rsidR="00D929D2" w:rsidRDefault="00D929D2" w:rsidP="00D929D2">
    <w:pPr>
      <w:pStyle w:val="Intestazione"/>
      <w:jc w:val="right"/>
    </w:pPr>
    <w:r>
      <w:rPr>
        <w:rFonts w:ascii="Arial" w:hAnsi="Arial" w:cs="Arial"/>
        <w:b/>
        <w:noProof/>
        <w:sz w:val="28"/>
        <w:szCs w:val="28"/>
      </w:rPr>
      <w:drawing>
        <wp:anchor distT="0" distB="0" distL="114300" distR="114300" simplePos="0" relativeHeight="251658240" behindDoc="0" locked="0" layoutInCell="1" allowOverlap="1" wp14:anchorId="06BEB37B" wp14:editId="54391E75">
          <wp:simplePos x="0" y="0"/>
          <wp:positionH relativeFrom="column">
            <wp:posOffset>4971025</wp:posOffset>
          </wp:positionH>
          <wp:positionV relativeFrom="paragraph">
            <wp:posOffset>-149329</wp:posOffset>
          </wp:positionV>
          <wp:extent cx="1122785" cy="391669"/>
          <wp:effectExtent l="0" t="0" r="1270" b="889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253" cy="394623"/>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043"/>
    <w:multiLevelType w:val="multilevel"/>
    <w:tmpl w:val="B852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55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60"/>
    <w:rsid w:val="000A208F"/>
    <w:rsid w:val="002C14A3"/>
    <w:rsid w:val="0064539D"/>
    <w:rsid w:val="00833BAF"/>
    <w:rsid w:val="00BB4260"/>
    <w:rsid w:val="00C42859"/>
    <w:rsid w:val="00CF149F"/>
    <w:rsid w:val="00D929D2"/>
    <w:rsid w:val="00DD377A"/>
    <w:rsid w:val="00E3596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1219C"/>
  <w15:chartTrackingRefBased/>
  <w15:docId w15:val="{AC90953E-89EE-418F-92D0-CE4B7290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F14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149F"/>
    <w:rPr>
      <w:rFonts w:ascii="Times New Roman" w:eastAsia="Times New Roman" w:hAnsi="Times New Roman" w:cs="Times New Roman"/>
      <w:b/>
      <w:bCs/>
      <w:kern w:val="36"/>
      <w:sz w:val="48"/>
      <w:szCs w:val="48"/>
      <w:lang w:eastAsia="it-IT"/>
      <w14:ligatures w14:val="none"/>
    </w:rPr>
  </w:style>
  <w:style w:type="paragraph" w:styleId="Titolo">
    <w:name w:val="Title"/>
    <w:basedOn w:val="Normale"/>
    <w:next w:val="Normale"/>
    <w:link w:val="TitoloCarattere"/>
    <w:uiPriority w:val="10"/>
    <w:qFormat/>
    <w:rsid w:val="00CF14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F149F"/>
    <w:rPr>
      <w:rFonts w:asciiTheme="majorHAnsi" w:eastAsiaTheme="majorEastAsia" w:hAnsiTheme="majorHAnsi" w:cstheme="majorBidi"/>
      <w:spacing w:val="-10"/>
      <w:kern w:val="28"/>
      <w:sz w:val="56"/>
      <w:szCs w:val="56"/>
    </w:rPr>
  </w:style>
  <w:style w:type="paragraph" w:styleId="NormaleWeb">
    <w:name w:val="Normal (Web)"/>
    <w:basedOn w:val="Normale"/>
    <w:uiPriority w:val="99"/>
    <w:semiHidden/>
    <w:unhideWhenUsed/>
    <w:rsid w:val="0064539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64539D"/>
    <w:rPr>
      <w:i/>
      <w:iCs/>
    </w:rPr>
  </w:style>
  <w:style w:type="character" w:styleId="Enfasigrassetto">
    <w:name w:val="Strong"/>
    <w:basedOn w:val="Carpredefinitoparagrafo"/>
    <w:uiPriority w:val="22"/>
    <w:qFormat/>
    <w:rsid w:val="0064539D"/>
    <w:rPr>
      <w:b/>
      <w:bCs/>
    </w:rPr>
  </w:style>
  <w:style w:type="character" w:styleId="Collegamentoipertestuale">
    <w:name w:val="Hyperlink"/>
    <w:basedOn w:val="Carpredefinitoparagrafo"/>
    <w:uiPriority w:val="99"/>
    <w:semiHidden/>
    <w:unhideWhenUsed/>
    <w:rsid w:val="0064539D"/>
    <w:rPr>
      <w:color w:val="0000FF"/>
      <w:u w:val="single"/>
    </w:rPr>
  </w:style>
  <w:style w:type="paragraph" w:styleId="Intestazione">
    <w:name w:val="header"/>
    <w:basedOn w:val="Normale"/>
    <w:link w:val="IntestazioneCarattere"/>
    <w:uiPriority w:val="99"/>
    <w:unhideWhenUsed/>
    <w:rsid w:val="00D92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29D2"/>
  </w:style>
  <w:style w:type="paragraph" w:styleId="Pidipagina">
    <w:name w:val="footer"/>
    <w:basedOn w:val="Normale"/>
    <w:link w:val="PidipaginaCarattere"/>
    <w:unhideWhenUsed/>
    <w:rsid w:val="00D92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9207">
      <w:bodyDiv w:val="1"/>
      <w:marLeft w:val="0"/>
      <w:marRight w:val="0"/>
      <w:marTop w:val="0"/>
      <w:marBottom w:val="0"/>
      <w:divBdr>
        <w:top w:val="none" w:sz="0" w:space="0" w:color="auto"/>
        <w:left w:val="none" w:sz="0" w:space="0" w:color="auto"/>
        <w:bottom w:val="none" w:sz="0" w:space="0" w:color="auto"/>
        <w:right w:val="none" w:sz="0" w:space="0" w:color="auto"/>
      </w:divBdr>
    </w:div>
    <w:div w:id="7501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CISIA - Fabrizio Salvetti</dc:creator>
  <cp:keywords/>
  <dc:description/>
  <cp:lastModifiedBy>CISIA - Fabrizio Salvetti</cp:lastModifiedBy>
  <cp:revision>8</cp:revision>
  <dcterms:created xsi:type="dcterms:W3CDTF">2024-08-05T06:59:00Z</dcterms:created>
  <dcterms:modified xsi:type="dcterms:W3CDTF">2024-08-05T07:07:00Z</dcterms:modified>
</cp:coreProperties>
</file>